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r w:rsidRPr="009F54B6">
        <w:rPr>
          <w:rFonts w:ascii="Times New Roman" w:eastAsia="Times New Roman" w:hAnsi="Times New Roman" w:cs="Times New Roman"/>
          <w:color w:val="000000"/>
          <w:sz w:val="18"/>
          <w:szCs w:val="18"/>
          <w:lang w:eastAsia="fr-FR"/>
        </w:rPr>
        <w:t>Depuis 2009, la célèbre tour parisienne ne cesse de faire parler d'elle. En cause, des dépassements répétés des seuils d'amiante autorisés. L'Association des victimes de l'amiante hausse le ton pour dénoncer l'attitude des copropriétaires. Elle donne par ailleurs la marche à suivre pour réparer leurs erreurs.</w:t>
      </w:r>
    </w:p>
    <w:p w:rsidR="009F54B6" w:rsidRPr="009F54B6" w:rsidRDefault="009F54B6" w:rsidP="009F54B6">
      <w:pPr>
        <w:shd w:val="clear" w:color="auto" w:fill="FFFFFF"/>
        <w:spacing w:line="240" w:lineRule="auto"/>
        <w:jc w:val="center"/>
        <w:rPr>
          <w:rFonts w:ascii="Times New Roman" w:eastAsia="Times New Roman" w:hAnsi="Times New Roman" w:cs="Times New Roman"/>
          <w:color w:val="000000"/>
          <w:sz w:val="18"/>
          <w:szCs w:val="18"/>
          <w:lang w:eastAsia="fr-FR"/>
        </w:rPr>
      </w:pPr>
      <w:r>
        <w:rPr>
          <w:rFonts w:ascii="Times New Roman" w:eastAsia="Times New Roman" w:hAnsi="Times New Roman" w:cs="Times New Roman"/>
          <w:noProof/>
          <w:color w:val="000000"/>
          <w:sz w:val="18"/>
          <w:szCs w:val="18"/>
          <w:lang w:eastAsia="fr-FR"/>
        </w:rPr>
        <w:drawing>
          <wp:inline distT="0" distB="0" distL="0" distR="0">
            <wp:extent cx="4681220" cy="3056890"/>
            <wp:effectExtent l="0" t="0" r="5080" b="0"/>
            <wp:docPr id="1" name="Image 1" descr="http://www.info.expoprotection.com/Data/kmreed_secuactu/invitation/F_ed2f38e43e52741c4fba373a2d00098e52e940ef1b3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o.expoprotection.com/Data/kmreed_secuactu/invitation/F_ed2f38e43e52741c4fba373a2d00098e52e940ef1b38c.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1220" cy="3056890"/>
                    </a:xfrm>
                    <a:prstGeom prst="rect">
                      <a:avLst/>
                    </a:prstGeom>
                    <a:noFill/>
                    <a:ln>
                      <a:noFill/>
                    </a:ln>
                  </pic:spPr>
                </pic:pic>
              </a:graphicData>
            </a:graphic>
          </wp:inline>
        </w:drawing>
      </w:r>
    </w:p>
    <w:p w:rsidR="009F54B6" w:rsidRPr="009F54B6" w:rsidRDefault="009F54B6" w:rsidP="009F54B6">
      <w:pPr>
        <w:shd w:val="clear" w:color="auto" w:fill="FFFFFF"/>
        <w:spacing w:line="240" w:lineRule="auto"/>
        <w:jc w:val="center"/>
        <w:rPr>
          <w:rFonts w:ascii="Arial" w:eastAsia="Times New Roman" w:hAnsi="Arial" w:cs="Arial"/>
          <w:color w:val="000000"/>
          <w:sz w:val="15"/>
          <w:szCs w:val="15"/>
          <w:lang w:eastAsia="fr-FR"/>
        </w:rPr>
      </w:pPr>
      <w:r w:rsidRPr="009F54B6">
        <w:rPr>
          <w:rFonts w:ascii="Arial" w:eastAsia="Times New Roman" w:hAnsi="Arial" w:cs="Arial"/>
          <w:color w:val="000000"/>
          <w:sz w:val="15"/>
          <w:szCs w:val="15"/>
          <w:lang w:eastAsia="fr-FR"/>
        </w:rPr>
        <w:t>L'amiante se glisse partout. Il est impossible de</w:t>
      </w:r>
      <w:r w:rsidRPr="009F54B6">
        <w:rPr>
          <w:rFonts w:ascii="Arial" w:eastAsia="Times New Roman" w:hAnsi="Arial" w:cs="Arial"/>
          <w:color w:val="000000"/>
          <w:sz w:val="15"/>
          <w:szCs w:val="15"/>
          <w:lang w:eastAsia="fr-FR"/>
        </w:rPr>
        <w:br/>
        <w:t>désamianter totalement la tour Montparnasse</w:t>
      </w:r>
      <w:r w:rsidRPr="009F54B6">
        <w:rPr>
          <w:rFonts w:ascii="Arial" w:eastAsia="Times New Roman" w:hAnsi="Arial" w:cs="Arial"/>
          <w:color w:val="000000"/>
          <w:sz w:val="15"/>
          <w:szCs w:val="15"/>
          <w:lang w:eastAsia="fr-FR"/>
        </w:rPr>
        <w:br/>
        <w:t xml:space="preserve">sans retirer ses façades. © </w:t>
      </w:r>
      <w:proofErr w:type="spellStart"/>
      <w:r w:rsidRPr="009F54B6">
        <w:rPr>
          <w:rFonts w:ascii="Arial" w:eastAsia="Times New Roman" w:hAnsi="Arial" w:cs="Arial"/>
          <w:color w:val="000000"/>
          <w:sz w:val="15"/>
          <w:szCs w:val="15"/>
          <w:lang w:eastAsia="fr-FR"/>
        </w:rPr>
        <w:t>Andeva</w:t>
      </w:r>
      <w:proofErr w:type="spellEnd"/>
      <w:r w:rsidRPr="009F54B6">
        <w:rPr>
          <w:rFonts w:ascii="Arial" w:eastAsia="Times New Roman" w:hAnsi="Arial" w:cs="Arial"/>
          <w:color w:val="000000"/>
          <w:sz w:val="15"/>
          <w:szCs w:val="15"/>
          <w:lang w:eastAsia="fr-FR"/>
        </w:rPr>
        <w:t xml:space="preserve"> </w:t>
      </w: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r w:rsidRPr="009F54B6">
        <w:rPr>
          <w:rFonts w:ascii="Times New Roman" w:eastAsia="Times New Roman" w:hAnsi="Times New Roman" w:cs="Times New Roman"/>
          <w:color w:val="000000"/>
          <w:sz w:val="18"/>
          <w:szCs w:val="18"/>
          <w:lang w:eastAsia="fr-FR"/>
        </w:rPr>
        <w:t>Mercredi 29 janvier, un rapport d'expert a épinglé le syndicat de copropriétaires de la tour Montparnasse. En cause, des « </w:t>
      </w:r>
      <w:r w:rsidRPr="009F54B6">
        <w:rPr>
          <w:rFonts w:ascii="Times New Roman" w:eastAsia="Times New Roman" w:hAnsi="Times New Roman" w:cs="Times New Roman"/>
          <w:i/>
          <w:iCs/>
          <w:color w:val="000000"/>
          <w:sz w:val="18"/>
          <w:szCs w:val="18"/>
          <w:lang w:eastAsia="fr-FR"/>
        </w:rPr>
        <w:t>lacunes</w:t>
      </w:r>
      <w:r w:rsidRPr="009F54B6">
        <w:rPr>
          <w:rFonts w:ascii="Times New Roman" w:eastAsia="Times New Roman" w:hAnsi="Times New Roman" w:cs="Times New Roman"/>
          <w:color w:val="000000"/>
          <w:sz w:val="18"/>
          <w:szCs w:val="18"/>
          <w:lang w:eastAsia="fr-FR"/>
        </w:rPr>
        <w:t xml:space="preserve"> » dans le dispositif de désamiantage mis en place par les copropriétaires. Depuis 2009, les alertes s'accumulent au sein du célèbre bâtiment parisien. Au total, ce sont plus de 70 dépassements des seuils d'amiante autorisés qui ont été constatés. Le désamiantage a commencé il y a 7 ans et a déjà couté près de 250 millions d'euros. </w:t>
      </w: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r w:rsidRPr="009F54B6">
        <w:rPr>
          <w:rFonts w:ascii="Times New Roman" w:eastAsia="Times New Roman" w:hAnsi="Times New Roman" w:cs="Times New Roman"/>
          <w:color w:val="000000"/>
          <w:sz w:val="18"/>
          <w:szCs w:val="18"/>
          <w:lang w:eastAsia="fr-FR"/>
        </w:rPr>
        <w:t xml:space="preserve">Le 13 août dernier, un arrêté préfectoral a finalement ordonné l'intervention d'un expert. Accablant, le rapport précise que « </w:t>
      </w:r>
      <w:r w:rsidRPr="009F54B6">
        <w:rPr>
          <w:rFonts w:ascii="Times New Roman" w:eastAsia="Times New Roman" w:hAnsi="Times New Roman" w:cs="Times New Roman"/>
          <w:i/>
          <w:iCs/>
          <w:color w:val="000000"/>
          <w:sz w:val="18"/>
          <w:szCs w:val="18"/>
          <w:lang w:eastAsia="fr-FR"/>
        </w:rPr>
        <w:t>les causes probables des pollutions récentes trouvent leur origine dans la conception et l'organisation des travaux de désamiantage.</w:t>
      </w:r>
      <w:r w:rsidRPr="009F54B6">
        <w:rPr>
          <w:rFonts w:ascii="Times New Roman" w:eastAsia="Times New Roman" w:hAnsi="Times New Roman" w:cs="Times New Roman"/>
          <w:color w:val="000000"/>
          <w:sz w:val="18"/>
          <w:szCs w:val="18"/>
          <w:lang w:eastAsia="fr-FR"/>
        </w:rPr>
        <w:t xml:space="preserve"> » Le problème se situerait notamment au niveau de la ventilation. Celle-ci constitue une source de diffusion de fibres cancérigènes, indique la préfecture de Paris. Résultat, l'amiante se répand dans les étages, </w:t>
      </w:r>
      <w:proofErr w:type="gramStart"/>
      <w:r w:rsidRPr="009F54B6">
        <w:rPr>
          <w:rFonts w:ascii="Times New Roman" w:eastAsia="Times New Roman" w:hAnsi="Times New Roman" w:cs="Times New Roman"/>
          <w:color w:val="000000"/>
          <w:sz w:val="18"/>
          <w:szCs w:val="18"/>
          <w:lang w:eastAsia="fr-FR"/>
        </w:rPr>
        <w:t>véhiculées</w:t>
      </w:r>
      <w:proofErr w:type="gramEnd"/>
      <w:r w:rsidRPr="009F54B6">
        <w:rPr>
          <w:rFonts w:ascii="Times New Roman" w:eastAsia="Times New Roman" w:hAnsi="Times New Roman" w:cs="Times New Roman"/>
          <w:color w:val="000000"/>
          <w:sz w:val="18"/>
          <w:szCs w:val="18"/>
          <w:lang w:eastAsia="fr-FR"/>
        </w:rPr>
        <w:t xml:space="preserve"> par la ventilation, mais également </w:t>
      </w:r>
      <w:r w:rsidRPr="009F54B6">
        <w:rPr>
          <w:rFonts w:ascii="Times New Roman" w:eastAsia="Times New Roman" w:hAnsi="Times New Roman" w:cs="Times New Roman"/>
          <w:i/>
          <w:iCs/>
          <w:color w:val="000000"/>
          <w:sz w:val="18"/>
          <w:szCs w:val="18"/>
          <w:lang w:eastAsia="fr-FR"/>
        </w:rPr>
        <w:t>via</w:t>
      </w:r>
      <w:r w:rsidRPr="009F54B6">
        <w:rPr>
          <w:rFonts w:ascii="Times New Roman" w:eastAsia="Times New Roman" w:hAnsi="Times New Roman" w:cs="Times New Roman"/>
          <w:color w:val="000000"/>
          <w:sz w:val="18"/>
          <w:szCs w:val="18"/>
          <w:lang w:eastAsia="fr-FR"/>
        </w:rPr>
        <w:t xml:space="preserve"> les ascenseurs et le réseau de câbles électriques.  </w:t>
      </w: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r w:rsidRPr="009F54B6">
        <w:rPr>
          <w:rFonts w:ascii="Times New Roman" w:eastAsia="Times New Roman" w:hAnsi="Times New Roman" w:cs="Times New Roman"/>
          <w:b/>
          <w:bCs/>
          <w:color w:val="000000"/>
          <w:sz w:val="18"/>
          <w:szCs w:val="18"/>
          <w:lang w:eastAsia="fr-FR"/>
        </w:rPr>
        <w:t xml:space="preserve">3 ans pour réparer l'erreur. </w:t>
      </w:r>
      <w:r w:rsidRPr="009F54B6">
        <w:rPr>
          <w:rFonts w:ascii="Times New Roman" w:eastAsia="Times New Roman" w:hAnsi="Times New Roman" w:cs="Times New Roman"/>
          <w:color w:val="000000"/>
          <w:sz w:val="18"/>
          <w:szCs w:val="18"/>
          <w:lang w:eastAsia="fr-FR"/>
        </w:rPr>
        <w:t>Selon l'</w:t>
      </w:r>
      <w:proofErr w:type="spellStart"/>
      <w:r w:rsidRPr="009F54B6">
        <w:rPr>
          <w:rFonts w:ascii="Times New Roman" w:eastAsia="Times New Roman" w:hAnsi="Times New Roman" w:cs="Times New Roman"/>
          <w:color w:val="000000"/>
          <w:sz w:val="18"/>
          <w:szCs w:val="18"/>
          <w:lang w:eastAsia="fr-FR"/>
        </w:rPr>
        <w:t>Andeva</w:t>
      </w:r>
      <w:proofErr w:type="spellEnd"/>
      <w:r w:rsidRPr="009F54B6">
        <w:rPr>
          <w:rFonts w:ascii="Times New Roman" w:eastAsia="Times New Roman" w:hAnsi="Times New Roman" w:cs="Times New Roman"/>
          <w:color w:val="000000"/>
          <w:sz w:val="18"/>
          <w:szCs w:val="18"/>
          <w:lang w:eastAsia="fr-FR"/>
        </w:rPr>
        <w:t xml:space="preserve"> (Association des victimes de l'amiante), la faute revient aux copropriétaires qui auraient refusé d'évacuer totalement le gratte-ciel. À l'inverse, ces derniers ont opté pour un désamiantage lot par lot. « </w:t>
      </w:r>
      <w:r w:rsidRPr="009F54B6">
        <w:rPr>
          <w:rFonts w:ascii="Times New Roman" w:eastAsia="Times New Roman" w:hAnsi="Times New Roman" w:cs="Times New Roman"/>
          <w:i/>
          <w:iCs/>
          <w:color w:val="000000"/>
          <w:sz w:val="18"/>
          <w:szCs w:val="18"/>
          <w:lang w:eastAsia="fr-FR"/>
        </w:rPr>
        <w:t>Dans un bâtiment comme celui-ci, il est quasiment impossible de procéder de la sorte</w:t>
      </w:r>
      <w:r w:rsidRPr="009F54B6">
        <w:rPr>
          <w:rFonts w:ascii="Times New Roman" w:eastAsia="Times New Roman" w:hAnsi="Times New Roman" w:cs="Times New Roman"/>
          <w:color w:val="000000"/>
          <w:sz w:val="18"/>
          <w:szCs w:val="18"/>
          <w:lang w:eastAsia="fr-FR"/>
        </w:rPr>
        <w:t xml:space="preserve"> », assure Michel Parigot, porte-parole de l'</w:t>
      </w:r>
      <w:proofErr w:type="spellStart"/>
      <w:r w:rsidRPr="009F54B6">
        <w:rPr>
          <w:rFonts w:ascii="Times New Roman" w:eastAsia="Times New Roman" w:hAnsi="Times New Roman" w:cs="Times New Roman"/>
          <w:color w:val="000000"/>
          <w:sz w:val="18"/>
          <w:szCs w:val="18"/>
          <w:lang w:eastAsia="fr-FR"/>
        </w:rPr>
        <w:t>Andeva</w:t>
      </w:r>
      <w:proofErr w:type="spellEnd"/>
      <w:r w:rsidRPr="009F54B6">
        <w:rPr>
          <w:rFonts w:ascii="Times New Roman" w:eastAsia="Times New Roman" w:hAnsi="Times New Roman" w:cs="Times New Roman"/>
          <w:color w:val="000000"/>
          <w:sz w:val="18"/>
          <w:szCs w:val="18"/>
          <w:lang w:eastAsia="fr-FR"/>
        </w:rPr>
        <w:t>, en pesant ses mots. « </w:t>
      </w:r>
      <w:r w:rsidRPr="009F54B6">
        <w:rPr>
          <w:rFonts w:ascii="Times New Roman" w:eastAsia="Times New Roman" w:hAnsi="Times New Roman" w:cs="Times New Roman"/>
          <w:i/>
          <w:iCs/>
          <w:color w:val="000000"/>
          <w:sz w:val="18"/>
          <w:szCs w:val="18"/>
          <w:lang w:eastAsia="fr-FR"/>
        </w:rPr>
        <w:t>En effet, la fibre cancérigène est allée se loger à l'intérieur des structures métalliques du bâtiment. Techniquement, il est donc impossible de le désamianter totalement sans retirer ses façades.</w:t>
      </w:r>
      <w:r w:rsidRPr="009F54B6">
        <w:rPr>
          <w:rFonts w:ascii="Times New Roman" w:eastAsia="Times New Roman" w:hAnsi="Times New Roman" w:cs="Times New Roman"/>
          <w:color w:val="000000"/>
          <w:sz w:val="18"/>
          <w:szCs w:val="18"/>
          <w:lang w:eastAsia="fr-FR"/>
        </w:rPr>
        <w:t xml:space="preserve"> » Ce qui, bien sûr, ne peut être fait sans évacuer la totalité des occupants. Selon le porte-parole de l'association, il faudra compter au moins 3 ans pour effectuer ces travaux. Un manque à gagner évident pour les copropriétaires qui louent ces bureaux. Or ils n'ont cessé, jusqu'à présent, de reculer l'échéance.  </w:t>
      </w: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r w:rsidRPr="009F54B6">
        <w:rPr>
          <w:rFonts w:ascii="Times New Roman" w:eastAsia="Times New Roman" w:hAnsi="Times New Roman" w:cs="Times New Roman"/>
          <w:b/>
          <w:bCs/>
          <w:color w:val="000000"/>
          <w:sz w:val="18"/>
          <w:szCs w:val="18"/>
          <w:lang w:eastAsia="fr-FR"/>
        </w:rPr>
        <w:t>Evacuation.</w:t>
      </w:r>
      <w:r w:rsidRPr="009F54B6">
        <w:rPr>
          <w:rFonts w:ascii="Times New Roman" w:eastAsia="Times New Roman" w:hAnsi="Times New Roman" w:cs="Times New Roman"/>
          <w:color w:val="000000"/>
          <w:sz w:val="18"/>
          <w:szCs w:val="18"/>
          <w:lang w:eastAsia="fr-FR"/>
        </w:rPr>
        <w:t xml:space="preserve"> Pour l'heure, les quelques 300 copropriétaires du bâtiment assurent qu' « </w:t>
      </w:r>
      <w:r w:rsidRPr="009F54B6">
        <w:rPr>
          <w:rFonts w:ascii="Times New Roman" w:eastAsia="Times New Roman" w:hAnsi="Times New Roman" w:cs="Times New Roman"/>
          <w:i/>
          <w:iCs/>
          <w:color w:val="000000"/>
          <w:sz w:val="18"/>
          <w:szCs w:val="18"/>
          <w:lang w:eastAsia="fr-FR"/>
        </w:rPr>
        <w:t>il n'y a actuellement pas de risque sanitaire dans l'ensemble immobilier Tour Maine Montparnasse, où tous les travaux de désamiantage sont arrêtés</w:t>
      </w:r>
      <w:r w:rsidRPr="009F54B6">
        <w:rPr>
          <w:rFonts w:ascii="Times New Roman" w:eastAsia="Times New Roman" w:hAnsi="Times New Roman" w:cs="Times New Roman"/>
          <w:color w:val="000000"/>
          <w:sz w:val="18"/>
          <w:szCs w:val="18"/>
          <w:lang w:eastAsia="fr-FR"/>
        </w:rPr>
        <w:t xml:space="preserve"> ». Toutefois, 200 agents du Conseil régional d'Ile-de-France travaillant dans la Tour Montparnasse sont en train de quitter les </w:t>
      </w:r>
      <w:proofErr w:type="gramStart"/>
      <w:r w:rsidRPr="009F54B6">
        <w:rPr>
          <w:rFonts w:ascii="Times New Roman" w:eastAsia="Times New Roman" w:hAnsi="Times New Roman" w:cs="Times New Roman"/>
          <w:color w:val="000000"/>
          <w:sz w:val="18"/>
          <w:szCs w:val="18"/>
          <w:lang w:eastAsia="fr-FR"/>
        </w:rPr>
        <w:t>lieux</w:t>
      </w:r>
      <w:proofErr w:type="gramEnd"/>
      <w:r w:rsidRPr="009F54B6">
        <w:rPr>
          <w:rFonts w:ascii="Times New Roman" w:eastAsia="Times New Roman" w:hAnsi="Times New Roman" w:cs="Times New Roman"/>
          <w:color w:val="000000"/>
          <w:sz w:val="18"/>
          <w:szCs w:val="18"/>
          <w:lang w:eastAsia="fr-FR"/>
        </w:rPr>
        <w:t xml:space="preserve">. L'Etat publiera un arrêté d'ici deux mois, prescrivant le cadre de la reprise des travaux. </w:t>
      </w: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r w:rsidRPr="009F54B6">
        <w:rPr>
          <w:rFonts w:ascii="Times New Roman" w:eastAsia="Times New Roman" w:hAnsi="Times New Roman" w:cs="Times New Roman"/>
          <w:b/>
          <w:bCs/>
          <w:color w:val="000000"/>
          <w:sz w:val="18"/>
          <w:szCs w:val="18"/>
          <w:lang w:eastAsia="fr-FR"/>
        </w:rPr>
        <w:t>Guillaume Pierre</w:t>
      </w:r>
      <w:r w:rsidRPr="009F54B6">
        <w:rPr>
          <w:rFonts w:ascii="Times New Roman" w:eastAsia="Times New Roman" w:hAnsi="Times New Roman" w:cs="Times New Roman"/>
          <w:color w:val="000000"/>
          <w:sz w:val="18"/>
          <w:szCs w:val="18"/>
          <w:lang w:eastAsia="fr-FR"/>
        </w:rPr>
        <w:t xml:space="preserve"> </w:t>
      </w:r>
    </w:p>
    <w:p w:rsidR="009F54B6" w:rsidRPr="009F54B6" w:rsidRDefault="009F54B6" w:rsidP="009F54B6">
      <w:pPr>
        <w:shd w:val="clear" w:color="auto" w:fill="FFFFFF"/>
        <w:spacing w:line="240" w:lineRule="auto"/>
        <w:rPr>
          <w:rFonts w:ascii="Times New Roman" w:eastAsia="Times New Roman" w:hAnsi="Times New Roman" w:cs="Times New Roman"/>
          <w:color w:val="000000"/>
          <w:sz w:val="18"/>
          <w:szCs w:val="18"/>
          <w:lang w:eastAsia="fr-FR"/>
        </w:rPr>
      </w:pPr>
      <w:r w:rsidRPr="009F54B6">
        <w:rPr>
          <w:rFonts w:ascii="Times New Roman" w:eastAsia="Times New Roman" w:hAnsi="Times New Roman" w:cs="Times New Roman"/>
          <w:color w:val="000000"/>
          <w:sz w:val="18"/>
          <w:szCs w:val="18"/>
          <w:lang w:eastAsia="fr-FR"/>
        </w:rPr>
        <w:br/>
      </w:r>
      <w:bookmarkStart w:id="0" w:name="_GoBack"/>
      <w:bookmarkEnd w:id="0"/>
    </w:p>
    <w:p w:rsidR="00F61141" w:rsidRDefault="00F61141"/>
    <w:sectPr w:rsidR="00F61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4B6"/>
    <w:rsid w:val="009F54B6"/>
    <w:rsid w:val="00F611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F54B6"/>
    <w:rPr>
      <w:strike w:val="0"/>
      <w:dstrike w:val="0"/>
      <w:color w:val="0000FF"/>
      <w:u w:val="none"/>
      <w:effect w:val="none"/>
    </w:rPr>
  </w:style>
  <w:style w:type="paragraph" w:styleId="Textedebulles">
    <w:name w:val="Balloon Text"/>
    <w:basedOn w:val="Normal"/>
    <w:link w:val="TextedebullesCar"/>
    <w:uiPriority w:val="99"/>
    <w:semiHidden/>
    <w:unhideWhenUsed/>
    <w:rsid w:val="009F54B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4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F54B6"/>
    <w:rPr>
      <w:strike w:val="0"/>
      <w:dstrike w:val="0"/>
      <w:color w:val="0000FF"/>
      <w:u w:val="none"/>
      <w:effect w:val="none"/>
    </w:rPr>
  </w:style>
  <w:style w:type="paragraph" w:styleId="Textedebulles">
    <w:name w:val="Balloon Text"/>
    <w:basedOn w:val="Normal"/>
    <w:link w:val="TextedebullesCar"/>
    <w:uiPriority w:val="99"/>
    <w:semiHidden/>
    <w:unhideWhenUsed/>
    <w:rsid w:val="009F54B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4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929244">
      <w:bodyDiv w:val="1"/>
      <w:marLeft w:val="0"/>
      <w:marRight w:val="0"/>
      <w:marTop w:val="0"/>
      <w:marBottom w:val="0"/>
      <w:divBdr>
        <w:top w:val="none" w:sz="0" w:space="0" w:color="auto"/>
        <w:left w:val="none" w:sz="0" w:space="0" w:color="auto"/>
        <w:bottom w:val="none" w:sz="0" w:space="0" w:color="auto"/>
        <w:right w:val="none" w:sz="0" w:space="0" w:color="auto"/>
      </w:divBdr>
      <w:divsChild>
        <w:div w:id="834299048">
          <w:marLeft w:val="0"/>
          <w:marRight w:val="0"/>
          <w:marTop w:val="0"/>
          <w:marBottom w:val="0"/>
          <w:divBdr>
            <w:top w:val="none" w:sz="0" w:space="0" w:color="auto"/>
            <w:left w:val="none" w:sz="0" w:space="0" w:color="auto"/>
            <w:bottom w:val="none" w:sz="0" w:space="0" w:color="auto"/>
            <w:right w:val="none" w:sz="0" w:space="0" w:color="auto"/>
          </w:divBdr>
        </w:div>
        <w:div w:id="839078438">
          <w:marLeft w:val="0"/>
          <w:marRight w:val="0"/>
          <w:marTop w:val="0"/>
          <w:marBottom w:val="0"/>
          <w:divBdr>
            <w:top w:val="none" w:sz="0" w:space="0" w:color="auto"/>
            <w:left w:val="none" w:sz="0" w:space="0" w:color="auto"/>
            <w:bottom w:val="none" w:sz="0" w:space="0" w:color="auto"/>
            <w:right w:val="none" w:sz="0" w:space="0" w:color="auto"/>
          </w:divBdr>
        </w:div>
        <w:div w:id="515387142">
          <w:marLeft w:val="0"/>
          <w:marRight w:val="0"/>
          <w:marTop w:val="0"/>
          <w:marBottom w:val="0"/>
          <w:divBdr>
            <w:top w:val="none" w:sz="0" w:space="0" w:color="auto"/>
            <w:left w:val="none" w:sz="0" w:space="0" w:color="auto"/>
            <w:bottom w:val="none" w:sz="0" w:space="0" w:color="auto"/>
            <w:right w:val="none" w:sz="0" w:space="0" w:color="auto"/>
          </w:divBdr>
        </w:div>
        <w:div w:id="16779163">
          <w:marLeft w:val="0"/>
          <w:marRight w:val="0"/>
          <w:marTop w:val="0"/>
          <w:marBottom w:val="150"/>
          <w:divBdr>
            <w:top w:val="none" w:sz="0" w:space="0" w:color="auto"/>
            <w:left w:val="none" w:sz="0" w:space="0" w:color="auto"/>
            <w:bottom w:val="none" w:sz="0" w:space="0" w:color="auto"/>
            <w:right w:val="none" w:sz="0" w:space="0" w:color="auto"/>
          </w:divBdr>
          <w:divsChild>
            <w:div w:id="476923428">
              <w:marLeft w:val="0"/>
              <w:marRight w:val="0"/>
              <w:marTop w:val="0"/>
              <w:marBottom w:val="0"/>
              <w:divBdr>
                <w:top w:val="none" w:sz="0" w:space="0" w:color="auto"/>
                <w:left w:val="none" w:sz="0" w:space="0" w:color="auto"/>
                <w:bottom w:val="none" w:sz="0" w:space="0" w:color="auto"/>
                <w:right w:val="none" w:sz="0" w:space="0" w:color="auto"/>
              </w:divBdr>
            </w:div>
            <w:div w:id="1595285364">
              <w:marLeft w:val="0"/>
              <w:marRight w:val="0"/>
              <w:marTop w:val="0"/>
              <w:marBottom w:val="0"/>
              <w:divBdr>
                <w:top w:val="none" w:sz="0" w:space="0" w:color="auto"/>
                <w:left w:val="none" w:sz="0" w:space="0" w:color="auto"/>
                <w:bottom w:val="none" w:sz="0" w:space="0" w:color="auto"/>
                <w:right w:val="none" w:sz="0" w:space="0" w:color="auto"/>
              </w:divBdr>
            </w:div>
            <w:div w:id="927541082">
              <w:marLeft w:val="0"/>
              <w:marRight w:val="0"/>
              <w:marTop w:val="0"/>
              <w:marBottom w:val="0"/>
              <w:divBdr>
                <w:top w:val="none" w:sz="0" w:space="0" w:color="auto"/>
                <w:left w:val="none" w:sz="0" w:space="0" w:color="auto"/>
                <w:bottom w:val="none" w:sz="0" w:space="0" w:color="auto"/>
                <w:right w:val="none" w:sz="0" w:space="0" w:color="auto"/>
              </w:divBdr>
            </w:div>
            <w:div w:id="1060135703">
              <w:marLeft w:val="0"/>
              <w:marRight w:val="0"/>
              <w:marTop w:val="0"/>
              <w:marBottom w:val="0"/>
              <w:divBdr>
                <w:top w:val="none" w:sz="0" w:space="0" w:color="auto"/>
                <w:left w:val="none" w:sz="0" w:space="0" w:color="auto"/>
                <w:bottom w:val="none" w:sz="0" w:space="0" w:color="auto"/>
                <w:right w:val="none" w:sz="0" w:space="0" w:color="auto"/>
              </w:divBdr>
            </w:div>
            <w:div w:id="24404667">
              <w:marLeft w:val="0"/>
              <w:marRight w:val="0"/>
              <w:marTop w:val="0"/>
              <w:marBottom w:val="0"/>
              <w:divBdr>
                <w:top w:val="none" w:sz="0" w:space="0" w:color="auto"/>
                <w:left w:val="none" w:sz="0" w:space="0" w:color="auto"/>
                <w:bottom w:val="none" w:sz="0" w:space="0" w:color="auto"/>
                <w:right w:val="none" w:sz="0" w:space="0" w:color="auto"/>
              </w:divBdr>
            </w:div>
            <w:div w:id="1041785573">
              <w:marLeft w:val="0"/>
              <w:marRight w:val="0"/>
              <w:marTop w:val="0"/>
              <w:marBottom w:val="0"/>
              <w:divBdr>
                <w:top w:val="none" w:sz="0" w:space="0" w:color="auto"/>
                <w:left w:val="none" w:sz="0" w:space="0" w:color="auto"/>
                <w:bottom w:val="none" w:sz="0" w:space="0" w:color="auto"/>
                <w:right w:val="none" w:sz="0" w:space="0" w:color="auto"/>
              </w:divBdr>
            </w:div>
            <w:div w:id="532765415">
              <w:marLeft w:val="0"/>
              <w:marRight w:val="0"/>
              <w:marTop w:val="0"/>
              <w:marBottom w:val="0"/>
              <w:divBdr>
                <w:top w:val="none" w:sz="0" w:space="0" w:color="auto"/>
                <w:left w:val="none" w:sz="0" w:space="0" w:color="auto"/>
                <w:bottom w:val="none" w:sz="0" w:space="0" w:color="auto"/>
                <w:right w:val="none" w:sz="0" w:space="0" w:color="auto"/>
              </w:divBdr>
            </w:div>
            <w:div w:id="1961492732">
              <w:marLeft w:val="0"/>
              <w:marRight w:val="0"/>
              <w:marTop w:val="0"/>
              <w:marBottom w:val="0"/>
              <w:divBdr>
                <w:top w:val="none" w:sz="0" w:space="0" w:color="auto"/>
                <w:left w:val="none" w:sz="0" w:space="0" w:color="auto"/>
                <w:bottom w:val="none" w:sz="0" w:space="0" w:color="auto"/>
                <w:right w:val="none" w:sz="0" w:space="0" w:color="auto"/>
              </w:divBdr>
            </w:div>
            <w:div w:id="13634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444</Words>
  <Characters>2447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p.reiter</dc:creator>
  <cp:lastModifiedBy>p.reiter</cp:lastModifiedBy>
  <cp:revision>1</cp:revision>
  <dcterms:created xsi:type="dcterms:W3CDTF">2014-02-04T17:55:00Z</dcterms:created>
  <dcterms:modified xsi:type="dcterms:W3CDTF">2014-02-04T18:03:00Z</dcterms:modified>
</cp:coreProperties>
</file>